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0F" w:rsidRPr="00023F0F" w:rsidRDefault="00023F0F" w:rsidP="00023F0F">
      <w:pPr>
        <w:pageBreakBefore/>
        <w:spacing w:before="400" w:after="4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023F0F" w:rsidRPr="00023F0F" w:rsidRDefault="00023F0F" w:rsidP="00023F0F">
      <w:pPr>
        <w:tabs>
          <w:tab w:val="left" w:pos="2835"/>
        </w:tabs>
        <w:spacing w:after="0" w:line="240" w:lineRule="auto"/>
        <w:rPr>
          <w:rFonts w:ascii="Calibri" w:eastAsia="Times New Roman" w:hAnsi="Calibri" w:cs="Times New Roman"/>
          <w:sz w:val="16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16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635</wp:posOffset>
            </wp:positionV>
            <wp:extent cx="1655445" cy="1259840"/>
            <wp:effectExtent l="0" t="0" r="1905" b="0"/>
            <wp:wrapThrough wrapText="bothSides">
              <wp:wrapPolygon edited="0">
                <wp:start x="0" y="0"/>
                <wp:lineTo x="0" y="21230"/>
                <wp:lineTo x="21376" y="21230"/>
                <wp:lineTo x="21376" y="0"/>
                <wp:lineTo x="0" y="0"/>
              </wp:wrapPolygon>
            </wp:wrapThrough>
            <wp:docPr id="4" name="Рисунок 4" descr="сто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ои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3F0F" w:rsidRPr="00023F0F" w:rsidRDefault="00023F0F" w:rsidP="00023F0F">
      <w:pPr>
        <w:spacing w:after="0" w:line="386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В разделе представлены данные о деятельности строительных организаций, вводе в действие зданий, производственных мощностей, жилищном и социально-культурном строительстве.</w:t>
      </w:r>
    </w:p>
    <w:p w:rsidR="00023F0F" w:rsidRPr="00023F0F" w:rsidRDefault="00023F0F" w:rsidP="00023F0F">
      <w:pPr>
        <w:spacing w:after="0" w:line="386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К строительным организациям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относятся все общестроительные и специализированные организации, включая ремонтно-строительные организации, тресты (управления) механизации и домостроительные комбинаты, буровые организации, осуществляющие строительство разведочных скважин на нефть и газ, и другие организации, зарегистрированные код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>а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м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>и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ОКВЭД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2, входящими в раздел 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en-US" w:eastAsia="x-none"/>
        </w:rPr>
        <w:t>F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>«Строительство»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. </w:t>
      </w:r>
    </w:p>
    <w:p w:rsidR="00023F0F" w:rsidRPr="00023F0F" w:rsidRDefault="00023F0F" w:rsidP="00023F0F">
      <w:pPr>
        <w:spacing w:after="0" w:line="386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Объем работ, выполненных по виду экономической деятельности «Строительство» – это строительные работы, выполненные организациями собственными силами на основании договоров и (или) контрактов, заключаемых с заказчиками, а также (начиная c 2015 года) работы выполненные хозяйственным способом организациями и населением. В стоимость этих работ включаются работы по строительству новых объектов, по капитальному и текущему ремонту, реконструкции жилых и нежилых зданий и инженерных сооружений.</w:t>
      </w:r>
    </w:p>
    <w:p w:rsidR="00023F0F" w:rsidRPr="00023F0F" w:rsidRDefault="00023F0F" w:rsidP="00023F0F">
      <w:pPr>
        <w:spacing w:after="0" w:line="386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Стоимостные показатели по строительству приведены в фактически действовавших ценах, индексы физического объема работ, выполненных по виду экономической деятельности «Строительство», рассчитаны в сопоставимых ценах.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 В качестве сопоставимых цен приняты среднегодовые цены предыдущего года.</w:t>
      </w:r>
    </w:p>
    <w:p w:rsidR="00023F0F" w:rsidRPr="00023F0F" w:rsidRDefault="00023F0F" w:rsidP="00023F0F">
      <w:pPr>
        <w:spacing w:before="120"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К зданиям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относится строительная система, состоящая из несущих и ограждающих или совмещенных (несущих и ограждающих) конструкций, которые образуют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023F0F" w:rsidRPr="00023F0F" w:rsidRDefault="00023F0F" w:rsidP="00023F0F">
      <w:pPr>
        <w:spacing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Общий строительный объем зданий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023F0F" w:rsidRPr="00023F0F" w:rsidRDefault="00023F0F" w:rsidP="00023F0F">
      <w:pPr>
        <w:spacing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lastRenderedPageBreak/>
        <w:t>Общая площадь здания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023F0F" w:rsidRPr="00023F0F" w:rsidRDefault="00023F0F" w:rsidP="00023F0F">
      <w:pPr>
        <w:spacing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Общий строительный объем и площадь жилых зданий определяется в соответствии со СНиП 31-01-2003.</w:t>
      </w:r>
    </w:p>
    <w:p w:rsidR="00023F0F" w:rsidRPr="00023F0F" w:rsidRDefault="00023F0F" w:rsidP="00023F0F">
      <w:pPr>
        <w:spacing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Ввод в действие мощностей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показатель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023F0F" w:rsidRPr="00023F0F" w:rsidRDefault="00023F0F" w:rsidP="00023F0F">
      <w:pPr>
        <w:spacing w:after="0" w:line="408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Данные о вводе в действие объектов и мощностей производственного и социально-культурного назначения включают ввод за счет строительства и реконструкции.</w:t>
      </w:r>
    </w:p>
    <w:p w:rsidR="00023F0F" w:rsidRPr="00023F0F" w:rsidRDefault="00023F0F" w:rsidP="00023F0F">
      <w:pPr>
        <w:spacing w:before="120" w:after="0" w:line="413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Прирост производственных мощностей за счет технического перевооружения и проведения других организационно-технических мероприятий в эти данные не включен.</w:t>
      </w:r>
    </w:p>
    <w:p w:rsidR="00023F0F" w:rsidRPr="00023F0F" w:rsidRDefault="00023F0F" w:rsidP="00023F0F">
      <w:pPr>
        <w:spacing w:after="0" w:line="413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В данные об общем числе построенных квартир включены квартиры в законченных строительством жилых домах квартирного</w:t>
      </w:r>
      <w:r w:rsidRPr="00023F0F">
        <w:rPr>
          <w:rFonts w:ascii="Arial" w:eastAsia="Times New Roman" w:hAnsi="Arial" w:cs="Times New Roman"/>
          <w:i/>
          <w:color w:val="0000FF"/>
          <w:szCs w:val="20"/>
          <w:lang w:eastAsia="x-none"/>
        </w:rPr>
        <w:t>,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гостиничного типов и общежитиях, квартиры в нежилых зданиях, а также в индивидуальных жилых домах.</w:t>
      </w:r>
    </w:p>
    <w:p w:rsidR="00023F0F" w:rsidRPr="00023F0F" w:rsidRDefault="00023F0F" w:rsidP="00023F0F">
      <w:pPr>
        <w:spacing w:after="0" w:line="413" w:lineRule="auto"/>
        <w:ind w:firstLine="567"/>
        <w:jc w:val="both"/>
        <w:outlineLvl w:val="5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Общая площадь жилых помещений</w:t>
      </w: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 населением индивидуальных жилых домах. 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023F0F" w:rsidRPr="00023F0F" w:rsidRDefault="00023F0F" w:rsidP="00023F0F">
      <w:pPr>
        <w:spacing w:after="0" w:line="413" w:lineRule="auto"/>
        <w:ind w:firstLine="567"/>
        <w:jc w:val="both"/>
        <w:outlineLvl w:val="5"/>
        <w:rPr>
          <w:rFonts w:ascii="Arial" w:eastAsia="Times New Roman" w:hAnsi="Arial" w:cs="Times New Roman"/>
          <w:color w:val="0000FF"/>
          <w:szCs w:val="20"/>
          <w:lang w:eastAsia="x-none"/>
        </w:rPr>
      </w:pPr>
      <w:r w:rsidRPr="00023F0F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lastRenderedPageBreak/>
        <w:t>В общую площадь жилых помещений не входит площадь вестибюлей, тамбуров, лестничных клеток, лифтовых холлов, общих коридоров, а также площадь в жилых домах, предназначенная для встроено-пристроенных помещений.</w:t>
      </w:r>
    </w:p>
    <w:p w:rsidR="00023F0F" w:rsidRPr="00023F0F" w:rsidRDefault="00023F0F" w:rsidP="00023F0F">
      <w:pPr>
        <w:pageBreakBefore/>
        <w:spacing w:before="400" w:after="40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</w:pP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  <w:lastRenderedPageBreak/>
        <w:t>деятельность строительных организаций</w:t>
      </w:r>
    </w:p>
    <w:p w:rsidR="00023F0F" w:rsidRPr="00023F0F" w:rsidRDefault="00023F0F" w:rsidP="00023F0F">
      <w:pPr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объем работ, выполненных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собственными силами по виду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деятельности «Строительство»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3118"/>
        <w:gridCol w:w="3119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Миллионов рублей</w:t>
            </w:r>
          </w:p>
        </w:tc>
        <w:tc>
          <w:tcPr>
            <w:tcW w:w="3119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Индекс физического объема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118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328468,0</w:t>
            </w:r>
          </w:p>
        </w:tc>
        <w:tc>
          <w:tcPr>
            <w:tcW w:w="3119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3118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357555,0</w:t>
            </w:r>
          </w:p>
        </w:tc>
        <w:tc>
          <w:tcPr>
            <w:tcW w:w="3119" w:type="dxa"/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100,9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469584,0</w:t>
            </w:r>
          </w:p>
        </w:tc>
        <w:tc>
          <w:tcPr>
            <w:tcW w:w="3119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2" w:after="6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122,0</w:t>
            </w:r>
          </w:p>
        </w:tc>
      </w:tr>
    </w:tbl>
    <w:p w:rsidR="00023F0F" w:rsidRPr="00023F0F" w:rsidRDefault="00023F0F" w:rsidP="00023F0F">
      <w:pPr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16"/>
          <w:szCs w:val="16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3F0F" w:rsidRPr="00023F0F" w:rsidRDefault="00023F0F" w:rsidP="00023F0F">
      <w:pPr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ввод в действие зданий</w:t>
      </w:r>
    </w:p>
    <w:tbl>
      <w:tblPr>
        <w:tblW w:w="82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724"/>
        <w:gridCol w:w="724"/>
        <w:gridCol w:w="724"/>
        <w:gridCol w:w="724"/>
        <w:gridCol w:w="725"/>
        <w:gridCol w:w="724"/>
        <w:gridCol w:w="724"/>
        <w:gridCol w:w="724"/>
        <w:gridCol w:w="725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2172" w:type="dxa"/>
            <w:gridSpan w:val="3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Число зданий</w:t>
            </w:r>
          </w:p>
        </w:tc>
        <w:tc>
          <w:tcPr>
            <w:tcW w:w="2173" w:type="dxa"/>
            <w:gridSpan w:val="3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Общий строительный объем зданий,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тысяч кубических метров</w:t>
            </w:r>
          </w:p>
        </w:tc>
        <w:tc>
          <w:tcPr>
            <w:tcW w:w="2173" w:type="dxa"/>
            <w:gridSpan w:val="3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Общая площадь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зданий,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тысяч квадратных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метров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2016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2017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2018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2016</w:t>
            </w:r>
          </w:p>
        </w:tc>
        <w:tc>
          <w:tcPr>
            <w:tcW w:w="72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2017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2018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2016</w:t>
            </w:r>
          </w:p>
        </w:tc>
        <w:tc>
          <w:tcPr>
            <w:tcW w:w="72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2017</w:t>
            </w:r>
          </w:p>
        </w:tc>
        <w:tc>
          <w:tcPr>
            <w:tcW w:w="72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57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Введено </w:t>
            </w: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в действие </w:t>
            </w: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зданий – всего</w:t>
            </w:r>
          </w:p>
        </w:tc>
        <w:tc>
          <w:tcPr>
            <w:tcW w:w="72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18919</w:t>
            </w:r>
          </w:p>
        </w:tc>
        <w:tc>
          <w:tcPr>
            <w:tcW w:w="72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22452</w:t>
            </w:r>
          </w:p>
        </w:tc>
        <w:tc>
          <w:tcPr>
            <w:tcW w:w="724" w:type="dxa"/>
            <w:tcBorders>
              <w:top w:val="thickThinSmallGap" w:sz="18" w:space="0" w:color="auto"/>
              <w:left w:val="nil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22918</w:t>
            </w:r>
          </w:p>
        </w:tc>
        <w:tc>
          <w:tcPr>
            <w:tcW w:w="72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75173,0</w:t>
            </w:r>
          </w:p>
        </w:tc>
        <w:tc>
          <w:tcPr>
            <w:tcW w:w="725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73528,2</w:t>
            </w:r>
          </w:p>
        </w:tc>
        <w:tc>
          <w:tcPr>
            <w:tcW w:w="724" w:type="dxa"/>
            <w:tcBorders>
              <w:top w:val="thickThinSmallGap" w:sz="18" w:space="0" w:color="auto"/>
              <w:left w:val="nil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70779,3</w:t>
            </w:r>
          </w:p>
        </w:tc>
        <w:tc>
          <w:tcPr>
            <w:tcW w:w="72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16686,2</w:t>
            </w:r>
          </w:p>
        </w:tc>
        <w:tc>
          <w:tcPr>
            <w:tcW w:w="72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16461,9</w:t>
            </w:r>
          </w:p>
        </w:tc>
        <w:tc>
          <w:tcPr>
            <w:tcW w:w="725" w:type="dxa"/>
            <w:tcBorders>
              <w:top w:val="thickThinSmallGap" w:sz="18" w:space="0" w:color="auto"/>
              <w:left w:val="nil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15465,5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22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жилого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назначения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17849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21580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22159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46249,0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46142,0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44649,0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12312,8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12086,8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12087,1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нежилого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назначения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1070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872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28924,0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27386,2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26130,3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4373,4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4375,1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3378,4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22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промышленные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4889,2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5438,0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4269,6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494,4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468,3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515,1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сельскохозяйственные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972,2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3058,4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3821,9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425,4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558,3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коммерческие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14625,1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12507,3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13628,4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1837,2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2008,9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1463,5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административные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830,8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1347,3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408,7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202,1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206,3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62,9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учебные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2273,3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1986,2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1285,7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585,1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448,9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272,3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 w:right="-170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системы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здравоохранения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261,4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937,2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447,1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61,5</w:t>
            </w:r>
          </w:p>
        </w:tc>
        <w:tc>
          <w:tcPr>
            <w:tcW w:w="724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432,5</w:t>
            </w:r>
          </w:p>
        </w:tc>
        <w:tc>
          <w:tcPr>
            <w:tcW w:w="725" w:type="dxa"/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104,0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1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57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другие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386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5072,0</w:t>
            </w:r>
          </w:p>
        </w:tc>
        <w:tc>
          <w:tcPr>
            <w:tcW w:w="72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2111,8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2268,9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997,8</w:t>
            </w:r>
          </w:p>
        </w:tc>
        <w:tc>
          <w:tcPr>
            <w:tcW w:w="7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384,8</w:t>
            </w:r>
          </w:p>
        </w:tc>
        <w:tc>
          <w:tcPr>
            <w:tcW w:w="72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42" w:after="44" w:line="240" w:lineRule="auto"/>
              <w:ind w:left="-113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402,3</w:t>
            </w:r>
          </w:p>
        </w:tc>
      </w:tr>
    </w:tbl>
    <w:p w:rsidR="00023F0F" w:rsidRPr="00023F0F" w:rsidRDefault="00023F0F" w:rsidP="00023F0F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ввод в действие отдельных производственных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мощностей за счет строительства и реконструкции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41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Линии электропередачинапряжением до 35 кВ: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6-20 кВ, км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687,7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 кВ, км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900,3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Трансформаторные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понизительные подстанции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напряжением 35 кВ и выше,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тыс. КВ.А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1081,9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285,2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167,0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Мощности по производству: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left="113"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стеновых материалов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(без стеновых железобетонных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панелей), млн. усл. кирпича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302,6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left="113"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оборудования технологического для предприятий строительной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индустрии и строительных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материалов, млн. рублей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166,0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Автомобильные дороги с твердым покрытием, км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69,6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Мосты, пог. 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243,0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2050,3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12520,6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8461,7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Газопроводы магистральные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отводы от них, км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Городские АТС, тыс. номеров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Волоконно-оптические линии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связи (передачи), км.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222,0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123,0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2884,9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Междугородные кабельные линии связи, км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142,3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ind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Аэровокзалы, пропускная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способность – пассажиров в час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2633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4110,0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Торговые предприятия,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тыс. кв. м торговой площади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161,6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149,6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Предприятия общественного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питания, посадочные места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1134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Гостиницы, места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1159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Общетоварные склады,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тыс. кв. м общей площади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618,8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649,6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882,2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655,5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56" w:after="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941,0</w:t>
            </w:r>
          </w:p>
        </w:tc>
      </w:tr>
    </w:tbl>
    <w:p w:rsidR="00023F0F" w:rsidRPr="00023F0F" w:rsidRDefault="00023F0F" w:rsidP="00023F0F">
      <w:pPr>
        <w:pageBreakBefore/>
        <w:spacing w:before="120" w:after="12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ru-RU"/>
        </w:rPr>
      </w:pPr>
      <w:r w:rsidRPr="00023F0F">
        <w:rPr>
          <w:rFonts w:ascii="Arial" w:eastAsia="Times New Roman" w:hAnsi="Arial" w:cs="Arial"/>
          <w:i/>
          <w:sz w:val="16"/>
          <w:szCs w:val="16"/>
          <w:lang w:eastAsia="ru-RU"/>
        </w:rPr>
        <w:lastRenderedPageBreak/>
        <w:t>окончание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Ввод в действие сетей, км: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водопроводные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канализационные 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газовые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1168,9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1333,3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1184,8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1203,5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951,4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тепловые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Ввод в действие отдельных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производственных мощностей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в сельском хозяйстве: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животноводческие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помещения для содержания,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тыс. мест: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крупного рогатого скота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ind w:left="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свиней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помещения для птицы,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тыс. птицемест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хранилища для картофеля,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овощей и фруктов, тыс. тонн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единовременного хранения 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8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осушение земель, тыс. га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256" w:after="25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</w:tbl>
    <w:p w:rsidR="00023F0F" w:rsidRPr="00023F0F" w:rsidRDefault="00023F0F" w:rsidP="00023F0F">
      <w:pPr>
        <w:pageBreakBefore/>
        <w:spacing w:before="400" w:after="40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</w:pP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  <w:lastRenderedPageBreak/>
        <w:t>материально-техническая база</w:t>
      </w: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  <w:br/>
        <w:t>строительНЫХ ОРГАНИЗАЦИЙ</w:t>
      </w:r>
    </w:p>
    <w:p w:rsidR="00023F0F" w:rsidRPr="00023F0F" w:rsidRDefault="00023F0F" w:rsidP="00023F0F">
      <w:pPr>
        <w:spacing w:after="240" w:line="240" w:lineRule="auto"/>
        <w:jc w:val="center"/>
        <w:outlineLvl w:val="3"/>
        <w:rPr>
          <w:rFonts w:ascii="Arial" w:eastAsia="Times New Roman" w:hAnsi="Arial" w:cs="Times New Roman"/>
          <w:b/>
          <w:sz w:val="18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инвестиции в основной капитал на развитие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производственной базы организаций, осуществляющих деятельность в строительстве</w:t>
      </w:r>
      <w:r w:rsidRPr="00023F0F">
        <w:rPr>
          <w:rFonts w:ascii="Arial" w:eastAsia="Times New Roman" w:hAnsi="Arial" w:cs="Arial"/>
          <w:b/>
          <w:i/>
          <w:caps/>
          <w:vertAlign w:val="superscript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1"/>
        <w:t>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047"/>
        <w:gridCol w:w="3048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3047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Миллионов рублей,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в фактически действовавших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ценах</w:t>
            </w:r>
          </w:p>
        </w:tc>
        <w:tc>
          <w:tcPr>
            <w:tcW w:w="3048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В процентах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 xml:space="preserve">от объема инвестиций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по области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04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7394,4</w:t>
            </w:r>
          </w:p>
        </w:tc>
        <w:tc>
          <w:tcPr>
            <w:tcW w:w="3048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04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5116,4</w:t>
            </w:r>
          </w:p>
        </w:tc>
        <w:tc>
          <w:tcPr>
            <w:tcW w:w="3048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212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04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3858,3</w:t>
            </w:r>
          </w:p>
        </w:tc>
        <w:tc>
          <w:tcPr>
            <w:tcW w:w="3048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212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3047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7648,6</w:t>
            </w:r>
          </w:p>
        </w:tc>
        <w:tc>
          <w:tcPr>
            <w:tcW w:w="3048" w:type="dxa"/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212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304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100551,3</w:t>
            </w:r>
          </w:p>
        </w:tc>
        <w:tc>
          <w:tcPr>
            <w:tcW w:w="304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00" w:after="10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12,9</w:t>
            </w:r>
          </w:p>
        </w:tc>
      </w:tr>
    </w:tbl>
    <w:p w:rsidR="00023F0F" w:rsidRPr="00023F0F" w:rsidRDefault="00023F0F" w:rsidP="00023F0F">
      <w:pPr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структура основных фондов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строительных организаций</w:t>
      </w:r>
      <w:r w:rsidRPr="00023F0F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2"/>
        <w:t>2</w:t>
      </w:r>
    </w:p>
    <w:p w:rsidR="00023F0F" w:rsidRPr="00023F0F" w:rsidRDefault="00023F0F" w:rsidP="00023F0F">
      <w:pPr>
        <w:spacing w:after="120" w:line="240" w:lineRule="auto"/>
        <w:jc w:val="right"/>
        <w:outlineLvl w:val="3"/>
        <w:rPr>
          <w:rFonts w:ascii="Arial" w:eastAsia="Times New Roman" w:hAnsi="Arial" w:cs="Arial"/>
          <w:i/>
          <w:sz w:val="16"/>
          <w:szCs w:val="16"/>
          <w:lang w:val="x-none" w:eastAsia="x-none"/>
        </w:rPr>
      </w:pPr>
      <w:r w:rsidRPr="00023F0F">
        <w:rPr>
          <w:rFonts w:ascii="Arial" w:eastAsia="Times New Roman" w:hAnsi="Arial" w:cs="Arial"/>
          <w:i/>
          <w:sz w:val="16"/>
          <w:szCs w:val="16"/>
          <w:lang w:val="x-none" w:eastAsia="x-none"/>
        </w:rPr>
        <w:t>на конец года, по полной учетной стоимости, в процентах к итогу</w:t>
      </w:r>
    </w:p>
    <w:tbl>
      <w:tblPr>
        <w:tblW w:w="8222" w:type="dxa"/>
        <w:tblInd w:w="108" w:type="dxa"/>
        <w:tblLook w:val="01E0" w:firstRow="1" w:lastRow="1" w:firstColumn="1" w:lastColumn="1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023F0F" w:rsidRPr="00023F0F" w:rsidTr="00B0705F"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023F0F" w:rsidRPr="00023F0F" w:rsidTr="00B0705F"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Основные фонды – всего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023F0F" w:rsidRPr="00023F0F" w:rsidTr="00B0705F"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здания и сооружения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40,2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60,0</w:t>
            </w:r>
          </w:p>
        </w:tc>
      </w:tr>
      <w:tr w:rsidR="00023F0F" w:rsidRPr="00023F0F" w:rsidTr="00B0705F"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машины и оборудование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29,1</w:t>
            </w:r>
          </w:p>
        </w:tc>
      </w:tr>
      <w:tr w:rsidR="00023F0F" w:rsidRPr="00023F0F" w:rsidTr="00B0705F"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9,3</w:t>
            </w:r>
          </w:p>
        </w:tc>
      </w:tr>
      <w:tr w:rsidR="00023F0F" w:rsidRPr="00023F0F" w:rsidTr="00B0705F"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прочие виды основных фондов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12" w:after="11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1,6</w:t>
            </w:r>
          </w:p>
        </w:tc>
      </w:tr>
    </w:tbl>
    <w:p w:rsidR="00023F0F" w:rsidRPr="00023F0F" w:rsidRDefault="00023F0F" w:rsidP="00023F0F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наличие и состояние основных строительных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машин в организациях, относящихся к виду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экономической деятельности «Строительство»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3"/>
        <w:t>1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на 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1 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ря 201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6"/>
        <w:gridCol w:w="1607"/>
        <w:gridCol w:w="1607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3402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1606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Всего, штук</w:t>
            </w:r>
          </w:p>
        </w:tc>
        <w:tc>
          <w:tcPr>
            <w:tcW w:w="3214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из них удельный вес строительных машин, процентов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3402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с истекшим сроком службы</w:t>
            </w:r>
          </w:p>
        </w:tc>
        <w:tc>
          <w:tcPr>
            <w:tcW w:w="1607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  <w:shd w:val="clear" w:color="auto" w:fill="auto"/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зарубежного производства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Экскаваторы самоходные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одноковшовые</w:t>
            </w:r>
          </w:p>
        </w:tc>
        <w:tc>
          <w:tcPr>
            <w:tcW w:w="1606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508</w:t>
            </w:r>
          </w:p>
        </w:tc>
        <w:tc>
          <w:tcPr>
            <w:tcW w:w="1607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1607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81,1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Краны на гусеничном ходу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67,8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Грейдеры самоходные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53,9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Бульдозеры и бульдозеры с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поворотом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Краны башенные строительные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Машины бурильные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Катки дорожные самоходные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70,6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Краны передвижные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52,7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Автокраны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41,5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Погрузчики одноковшовые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самоходные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64,2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Тракторы гусеничные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47,3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Бетономешалки или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растворосмесители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60,9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Копры сваебойные</w:t>
            </w:r>
          </w:p>
        </w:tc>
        <w:tc>
          <w:tcPr>
            <w:tcW w:w="1606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1607" w:type="dxa"/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Молоты сваебойные</w:t>
            </w:r>
          </w:p>
        </w:tc>
        <w:tc>
          <w:tcPr>
            <w:tcW w:w="1606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60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160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40" w:after="1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52,2</w:t>
            </w:r>
          </w:p>
        </w:tc>
      </w:tr>
    </w:tbl>
    <w:p w:rsidR="00023F0F" w:rsidRPr="00023F0F" w:rsidRDefault="00023F0F" w:rsidP="00023F0F">
      <w:pPr>
        <w:pageBreakBefore/>
        <w:spacing w:before="400" w:after="40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</w:pP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  <w:lastRenderedPageBreak/>
        <w:t>жилищное и социально-культурное</w:t>
      </w:r>
      <w:r w:rsidRPr="00023F0F">
        <w:rPr>
          <w:rFonts w:ascii="Times New Roman" w:eastAsia="Times New Roman" w:hAnsi="Times New Roman" w:cs="Times New Roman"/>
          <w:b/>
          <w:i/>
          <w:caps/>
          <w:color w:val="0000FF"/>
          <w:sz w:val="32"/>
          <w:szCs w:val="20"/>
          <w:u w:val="single"/>
          <w:lang w:val="x-none" w:eastAsia="x-none"/>
        </w:rPr>
        <w:br/>
        <w:t>строительство</w:t>
      </w:r>
    </w:p>
    <w:p w:rsidR="00023F0F" w:rsidRPr="00023F0F" w:rsidRDefault="00023F0F" w:rsidP="00023F0F">
      <w:pPr>
        <w:spacing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Ввод в действие жилых домов</w:t>
      </w:r>
    </w:p>
    <w:p w:rsidR="00023F0F" w:rsidRPr="00023F0F" w:rsidRDefault="00023F0F" w:rsidP="00023F0F">
      <w:pPr>
        <w:spacing w:after="120" w:line="240" w:lineRule="auto"/>
        <w:jc w:val="right"/>
        <w:outlineLvl w:val="3"/>
        <w:rPr>
          <w:rFonts w:ascii="Arial" w:eastAsia="Times New Roman" w:hAnsi="Arial" w:cs="Times New Roman"/>
          <w:i/>
          <w:sz w:val="16"/>
          <w:szCs w:val="16"/>
          <w:lang w:val="x-none" w:eastAsia="x-none"/>
        </w:rPr>
      </w:pPr>
      <w:r w:rsidRPr="00023F0F">
        <w:rPr>
          <w:rFonts w:ascii="Arial" w:eastAsia="Times New Roman" w:hAnsi="Arial" w:cs="Times New Roman"/>
          <w:i/>
          <w:sz w:val="16"/>
          <w:szCs w:val="16"/>
          <w:lang w:val="x-none" w:eastAsia="x-none"/>
        </w:rPr>
        <w:t>тысяч квадратных метров общей площади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247"/>
        <w:gridCol w:w="1247"/>
        <w:gridCol w:w="1248"/>
        <w:gridCol w:w="1247"/>
        <w:gridCol w:w="1248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1247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Всего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построено</w:t>
            </w:r>
          </w:p>
        </w:tc>
        <w:tc>
          <w:tcPr>
            <w:tcW w:w="2495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из них:</w:t>
            </w:r>
          </w:p>
        </w:tc>
        <w:tc>
          <w:tcPr>
            <w:tcW w:w="2495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Удельный вес в общем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вводе, процентов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населением за счет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собственных и заемных средств</w:t>
            </w:r>
          </w:p>
        </w:tc>
        <w:tc>
          <w:tcPr>
            <w:tcW w:w="1248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жилищно-строитель-ными кооперати-вами</w:t>
            </w:r>
          </w:p>
        </w:tc>
        <w:tc>
          <w:tcPr>
            <w:tcW w:w="1247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жилых домов построенных населением за счет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собственных и заемных средств</w:t>
            </w:r>
          </w:p>
        </w:tc>
        <w:tc>
          <w:tcPr>
            <w:tcW w:w="1248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жилых домов жилищно-строитель-ных коопера-тивов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9945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1677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9623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3219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8914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2808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985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9078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3529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47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38,9</w:t>
            </w:r>
          </w:p>
        </w:tc>
        <w:tc>
          <w:tcPr>
            <w:tcW w:w="1248" w:type="dxa"/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98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8867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3715</w:t>
            </w:r>
          </w:p>
        </w:tc>
        <w:tc>
          <w:tcPr>
            <w:tcW w:w="124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24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8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</w:tbl>
    <w:p w:rsidR="00023F0F" w:rsidRPr="00023F0F" w:rsidRDefault="00023F0F" w:rsidP="00023F0F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Ввод в действие жилых домов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организациями различных форм собственности</w:t>
      </w:r>
    </w:p>
    <w:p w:rsidR="00023F0F" w:rsidRPr="00023F0F" w:rsidRDefault="00023F0F" w:rsidP="00023F0F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023F0F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квадратных метров общей площади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9945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9623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8914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9078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8867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ind w:left="113"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в том числе по формам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собственности: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Государственная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ind w:left="284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ind w:left="170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федеральная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ind w:left="170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субъекта Федерации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Муниципальная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Общественных и религиозных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организаций (объединений)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Частная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8161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8162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7313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7908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8232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ind w:left="284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нее индивидуальное жилищное строительство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1677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3219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2808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3529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Смешанная российская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Потребительская кооперация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Иностранная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1185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4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Совместная российская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иностранная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6" w:after="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300</w:t>
            </w:r>
          </w:p>
        </w:tc>
      </w:tr>
    </w:tbl>
    <w:p w:rsidR="00023F0F" w:rsidRPr="00023F0F" w:rsidRDefault="00023F0F" w:rsidP="00023F0F">
      <w:pPr>
        <w:pageBreakBefore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ВВОД В ДЕЙСТВИЕ ЖИЛЫХ ДОМОВ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 ФОРМАМ СОБСТВЕННОСТИ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023F0F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023F0F" w:rsidRPr="00023F0F" w:rsidRDefault="00023F0F" w:rsidP="00023F0F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023F0F">
        <w:rPr>
          <w:rFonts w:ascii="Arial" w:eastAsia="Times New Roman" w:hAnsi="Arial" w:cs="Arial"/>
          <w:i/>
          <w:sz w:val="16"/>
          <w:szCs w:val="20"/>
          <w:lang w:eastAsia="ru-RU"/>
        </w:rPr>
        <w:t>процентов</w:t>
      </w:r>
    </w:p>
    <w:p w:rsidR="00023F0F" w:rsidRPr="00023F0F" w:rsidRDefault="00023F0F" w:rsidP="00023F0F">
      <w:pPr>
        <w:spacing w:after="0" w:line="240" w:lineRule="auto"/>
        <w:ind w:right="1133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  <w:r>
        <w:rPr>
          <w:rFonts w:ascii="Arial" w:eastAsia="Times New Roman" w:hAnsi="Arial" w:cs="Arial"/>
          <w:i/>
          <w:noProof/>
          <w:sz w:val="16"/>
          <w:szCs w:val="20"/>
          <w:lang w:eastAsia="ru-RU"/>
        </w:rPr>
        <w:drawing>
          <wp:inline distT="0" distB="0" distL="0" distR="0">
            <wp:extent cx="5038090" cy="5417185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3F0F" w:rsidRPr="00023F0F" w:rsidRDefault="00023F0F" w:rsidP="00023F0F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Ввод в действие жилых домов в городах и поселках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городского типа и сельской местности</w:t>
      </w:r>
    </w:p>
    <w:p w:rsidR="00023F0F" w:rsidRPr="00023F0F" w:rsidRDefault="00023F0F" w:rsidP="00023F0F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023F0F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квадратных метров общей площади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694"/>
        <w:gridCol w:w="2693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283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Всего построено</w:t>
            </w:r>
          </w:p>
        </w:tc>
        <w:tc>
          <w:tcPr>
            <w:tcW w:w="2693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в том числе населением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 xml:space="preserve">за счет собственных и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заемных средств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3"/>
            <w:vAlign w:val="center"/>
          </w:tcPr>
          <w:p w:rsidR="00023F0F" w:rsidRPr="00023F0F" w:rsidRDefault="00023F0F" w:rsidP="00023F0F">
            <w:pPr>
              <w:spacing w:before="12" w:after="1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 городах и поселках городского типа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7956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346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val="en-US" w:eastAsia="ru-RU"/>
              </w:rPr>
              <w:t>201</w:t>
            </w: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6727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567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6312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5951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1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5997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3"/>
            <w:vAlign w:val="center"/>
          </w:tcPr>
          <w:p w:rsidR="00023F0F" w:rsidRPr="00023F0F" w:rsidRDefault="00023F0F" w:rsidP="00023F0F">
            <w:pPr>
              <w:spacing w:before="12" w:after="1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 сельской местности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1989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1331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2896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2652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2601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2130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2694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vertAlign w:val="superscript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3124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2693" w:type="dxa"/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2779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69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2870</w:t>
            </w:r>
          </w:p>
        </w:tc>
        <w:tc>
          <w:tcPr>
            <w:tcW w:w="2693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2682</w:t>
            </w:r>
          </w:p>
        </w:tc>
      </w:tr>
    </w:tbl>
    <w:p w:rsidR="00023F0F" w:rsidRPr="00023F0F" w:rsidRDefault="00023F0F" w:rsidP="00023F0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ДОЛЯ ЖИЛЫХ ДОМОВ, ПОСТРОЕННЫХ </w:t>
      </w:r>
    </w:p>
    <w:p w:rsidR="00023F0F" w:rsidRPr="00023F0F" w:rsidRDefault="00023F0F" w:rsidP="00023F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НАСЕЛЕНИЕМ ЗА СЧЕТ СОБСТВЕННЫХ И ЗАЕМНЫХ СРЕДСТВ, В ОБЩЕМ ОБЪЕМЕ ЖИЛИЩНОГО 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СТРОИТЕЛЬСТВА</w:t>
      </w:r>
    </w:p>
    <w:p w:rsidR="00023F0F" w:rsidRPr="00023F0F" w:rsidRDefault="00023F0F" w:rsidP="00023F0F">
      <w:pPr>
        <w:spacing w:after="0" w:line="240" w:lineRule="auto"/>
        <w:rPr>
          <w:rFonts w:ascii="Calibri" w:eastAsia="Times New Roman" w:hAnsi="Calibri" w:cs="Times New Roman"/>
          <w:sz w:val="16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16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76200</wp:posOffset>
                </wp:positionV>
                <wp:extent cx="1592580" cy="208280"/>
                <wp:effectExtent l="0" t="381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20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3F0F" w:rsidRDefault="00023F0F" w:rsidP="00023F0F">
                            <w:r>
                              <w:rPr>
                                <w:rFonts w:ascii="Arial" w:hAnsi="Arial" w:cs="Arial"/>
                                <w:i/>
                              </w:rPr>
                              <w:t>тысяч квадратных ме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т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41.35pt;margin-top:6pt;width:125.4pt;height:16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" stroked="f">
                <v:textbox style="mso-fit-shape-to-text:t">
                  <w:txbxContent>
                    <w:p w:rsidR="00023F0F" w:rsidRDefault="00023F0F" w:rsidP="00023F0F">
                      <w:r>
                        <w:rPr>
                          <w:rFonts w:ascii="Arial" w:hAnsi="Arial" w:cs="Arial"/>
                          <w:i/>
                        </w:rPr>
                        <w:t>тысяч квадратных ме</w:t>
                      </w:r>
                      <w:r>
                        <w:rPr>
                          <w:rFonts w:ascii="Arial" w:hAnsi="Arial" w:cs="Arial"/>
                          <w:i/>
                        </w:rPr>
                        <w:t>т</w:t>
                      </w:r>
                      <w:r>
                        <w:rPr>
                          <w:rFonts w:ascii="Arial" w:hAnsi="Arial" w:cs="Arial"/>
                          <w:i/>
                        </w:rPr>
                        <w:t>ров</w:t>
                      </w:r>
                    </w:p>
                  </w:txbxContent>
                </v:textbox>
              </v:shape>
            </w:pict>
          </mc:Fallback>
        </mc:AlternateContent>
      </w:r>
      <w:r w:rsidRPr="00023F0F">
        <w:rPr>
          <w:rFonts w:ascii="Calibri" w:eastAsia="Times New Roman" w:hAnsi="Calibri" w:cs="Times New Roman"/>
          <w:sz w:val="16"/>
          <w:szCs w:val="20"/>
          <w:lang w:eastAsia="ru-RU"/>
        </w:rPr>
        <w:tab/>
      </w:r>
      <w:r w:rsidRPr="00023F0F">
        <w:rPr>
          <w:rFonts w:ascii="Calibri" w:eastAsia="Times New Roman" w:hAnsi="Calibri" w:cs="Times New Roman"/>
          <w:sz w:val="16"/>
          <w:szCs w:val="20"/>
          <w:lang w:eastAsia="ru-RU"/>
        </w:rPr>
        <w:tab/>
      </w:r>
      <w:r w:rsidRPr="00023F0F">
        <w:rPr>
          <w:rFonts w:ascii="Calibri" w:eastAsia="Times New Roman" w:hAnsi="Calibri" w:cs="Times New Roman"/>
          <w:sz w:val="16"/>
          <w:szCs w:val="20"/>
          <w:lang w:eastAsia="ru-RU"/>
        </w:rPr>
        <w:tab/>
      </w:r>
      <w:r w:rsidRPr="00023F0F">
        <w:rPr>
          <w:rFonts w:ascii="Calibri" w:eastAsia="Times New Roman" w:hAnsi="Calibri" w:cs="Times New Roman"/>
          <w:sz w:val="16"/>
          <w:szCs w:val="20"/>
          <w:lang w:eastAsia="ru-RU"/>
        </w:rPr>
        <w:tab/>
      </w:r>
    </w:p>
    <w:p w:rsidR="00023F0F" w:rsidRPr="00023F0F" w:rsidRDefault="00023F0F" w:rsidP="00023F0F">
      <w:pPr>
        <w:spacing w:after="120" w:line="240" w:lineRule="auto"/>
        <w:ind w:left="567" w:right="1134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16"/>
          <w:szCs w:val="20"/>
          <w:lang w:eastAsia="ru-RU"/>
        </w:rPr>
        <w:drawing>
          <wp:inline distT="0" distB="0" distL="0" distR="0">
            <wp:extent cx="4572000" cy="25019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3F0F" w:rsidRPr="00023F0F" w:rsidRDefault="00023F0F" w:rsidP="00023F0F">
      <w:pPr>
        <w:pageBreakBefore/>
        <w:spacing w:before="240" w:after="240" w:line="240" w:lineRule="auto"/>
        <w:jc w:val="center"/>
        <w:outlineLvl w:val="3"/>
        <w:rPr>
          <w:rFonts w:ascii="Arial" w:eastAsia="Times New Roman" w:hAnsi="Arial" w:cs="Times New Roman"/>
          <w:b/>
          <w:caps/>
          <w:sz w:val="18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число построенных квартир и их средний размер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За счет всех источников финансирования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Число квартир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147523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135639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127079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129498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127073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113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Средний размер квартир,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кв. м общей площади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67,4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ind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69,8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 том числе населением за счет собственных и заемных средств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Число квартир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9632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21072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17034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20996</w:t>
            </w:r>
          </w:p>
        </w:tc>
        <w:tc>
          <w:tcPr>
            <w:tcW w:w="964" w:type="dxa"/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21580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outlineLvl w:val="1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Средний размер, </w:t>
            </w: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кв. м общей площади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174,1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152,8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164,9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80" w:after="1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172,1</w:t>
            </w:r>
          </w:p>
        </w:tc>
      </w:tr>
    </w:tbl>
    <w:p w:rsidR="00023F0F" w:rsidRPr="00023F0F" w:rsidRDefault="00023F0F" w:rsidP="00023F0F">
      <w:pPr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Ввод в действие объектов</w:t>
      </w:r>
      <w:r w:rsidRPr="00023F0F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социально-культурного назначения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"/>
        <w:gridCol w:w="824"/>
        <w:gridCol w:w="735"/>
        <w:gridCol w:w="735"/>
        <w:gridCol w:w="735"/>
        <w:gridCol w:w="736"/>
        <w:gridCol w:w="735"/>
        <w:gridCol w:w="803"/>
        <w:gridCol w:w="757"/>
        <w:gridCol w:w="758"/>
        <w:gridCol w:w="758"/>
      </w:tblGrid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Дошко-льные образователь-ные органи-зации, мест</w:t>
            </w:r>
          </w:p>
        </w:tc>
        <w:tc>
          <w:tcPr>
            <w:tcW w:w="73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Обще-образо-вате-льные органи-зации,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учени-ческих мест</w:t>
            </w:r>
          </w:p>
        </w:tc>
        <w:tc>
          <w:tcPr>
            <w:tcW w:w="73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Амбу-латор-но-полик-лини-ческие органи-зации, посе-щений в смену</w:t>
            </w:r>
          </w:p>
        </w:tc>
        <w:tc>
          <w:tcPr>
            <w:tcW w:w="73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Боль-ничные органи-зации,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коек</w:t>
            </w:r>
          </w:p>
        </w:tc>
        <w:tc>
          <w:tcPr>
            <w:tcW w:w="736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Учреж-дения куль-туры клуб-ного типа, мест</w:t>
            </w:r>
          </w:p>
        </w:tc>
        <w:tc>
          <w:tcPr>
            <w:tcW w:w="73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Кон-церт-ные и кино-кон-церт-ные залы, мест</w:t>
            </w:r>
          </w:p>
        </w:tc>
        <w:tc>
          <w:tcPr>
            <w:tcW w:w="803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Спор-тивные соору-жения с искус-ствен-ным льдом, квад-ратных метров</w:t>
            </w:r>
          </w:p>
        </w:tc>
        <w:tc>
          <w:tcPr>
            <w:tcW w:w="757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Стади-оны, мест</w:t>
            </w:r>
          </w:p>
        </w:tc>
        <w:tc>
          <w:tcPr>
            <w:tcW w:w="758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Плава-тель-ные бассей-ны, 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квад-ратных метров зеркала</w:t>
            </w: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воды</w:t>
            </w:r>
          </w:p>
        </w:tc>
        <w:tc>
          <w:tcPr>
            <w:tcW w:w="758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023F0F" w:rsidRPr="00023F0F" w:rsidRDefault="00023F0F" w:rsidP="00023F0F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Плоско-стные спор-тив-ные соору-жения, квадра-тных метров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824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17329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15659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975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3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717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6217</w:t>
            </w:r>
          </w:p>
        </w:tc>
        <w:tc>
          <w:tcPr>
            <w:tcW w:w="803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9382</w:t>
            </w:r>
          </w:p>
        </w:tc>
        <w:tc>
          <w:tcPr>
            <w:tcW w:w="757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4132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20475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24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15652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7670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3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1082</w:t>
            </w:r>
          </w:p>
        </w:tc>
        <w:tc>
          <w:tcPr>
            <w:tcW w:w="803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10159</w:t>
            </w:r>
          </w:p>
        </w:tc>
        <w:tc>
          <w:tcPr>
            <w:tcW w:w="757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1232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1900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24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5047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17955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746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803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4139</w:t>
            </w:r>
          </w:p>
        </w:tc>
        <w:tc>
          <w:tcPr>
            <w:tcW w:w="757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44946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24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5717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11428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3329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826</w:t>
            </w:r>
          </w:p>
        </w:tc>
        <w:tc>
          <w:tcPr>
            <w:tcW w:w="736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1408</w:t>
            </w:r>
          </w:p>
        </w:tc>
        <w:tc>
          <w:tcPr>
            <w:tcW w:w="735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3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19851</w:t>
            </w:r>
          </w:p>
        </w:tc>
        <w:tc>
          <w:tcPr>
            <w:tcW w:w="757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20544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1512</w:t>
            </w:r>
          </w:p>
        </w:tc>
        <w:tc>
          <w:tcPr>
            <w:tcW w:w="758" w:type="dxa"/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8288</w:t>
            </w:r>
          </w:p>
        </w:tc>
      </w:tr>
      <w:tr w:rsidR="00023F0F" w:rsidRPr="00023F0F" w:rsidTr="00B0705F">
        <w:tblPrEx>
          <w:tblCellMar>
            <w:top w:w="0" w:type="dxa"/>
            <w:bottom w:w="0" w:type="dxa"/>
          </w:tblCellMar>
        </w:tblPrEx>
        <w:tc>
          <w:tcPr>
            <w:tcW w:w="646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24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4884</w:t>
            </w:r>
          </w:p>
        </w:tc>
        <w:tc>
          <w:tcPr>
            <w:tcW w:w="73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9730</w:t>
            </w:r>
          </w:p>
        </w:tc>
        <w:tc>
          <w:tcPr>
            <w:tcW w:w="73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3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36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35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3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57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1498</w:t>
            </w:r>
          </w:p>
        </w:tc>
        <w:tc>
          <w:tcPr>
            <w:tcW w:w="75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758" w:type="dxa"/>
            <w:tcBorders>
              <w:bottom w:val="thickThinSmallGap" w:sz="18" w:space="0" w:color="auto"/>
            </w:tcBorders>
            <w:vAlign w:val="bottom"/>
          </w:tcPr>
          <w:p w:rsidR="00023F0F" w:rsidRPr="00023F0F" w:rsidRDefault="00023F0F" w:rsidP="00023F0F">
            <w:pPr>
              <w:spacing w:before="170" w:after="176" w:line="240" w:lineRule="auto"/>
              <w:ind w:left="-74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023F0F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55738</w:t>
            </w:r>
          </w:p>
        </w:tc>
      </w:tr>
    </w:tbl>
    <w:p w:rsidR="00EB50C5" w:rsidRDefault="00D543A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AA" w:rsidRDefault="00D543AA" w:rsidP="00023F0F">
      <w:pPr>
        <w:spacing w:after="0" w:line="240" w:lineRule="auto"/>
      </w:pPr>
      <w:r>
        <w:separator/>
      </w:r>
    </w:p>
  </w:endnote>
  <w:endnote w:type="continuationSeparator" w:id="0">
    <w:p w:rsidR="00D543AA" w:rsidRDefault="00D543AA" w:rsidP="00023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AA" w:rsidRDefault="00D543AA" w:rsidP="00023F0F">
      <w:pPr>
        <w:spacing w:after="0" w:line="240" w:lineRule="auto"/>
      </w:pPr>
      <w:r>
        <w:separator/>
      </w:r>
    </w:p>
  </w:footnote>
  <w:footnote w:type="continuationSeparator" w:id="0">
    <w:p w:rsidR="00D543AA" w:rsidRDefault="00D543AA" w:rsidP="00023F0F">
      <w:pPr>
        <w:spacing w:after="0" w:line="240" w:lineRule="auto"/>
      </w:pPr>
      <w:r>
        <w:continuationSeparator/>
      </w:r>
    </w:p>
  </w:footnote>
  <w:footnote w:id="1">
    <w:p w:rsidR="00023F0F" w:rsidRPr="007D5CDE" w:rsidRDefault="00023F0F" w:rsidP="00023F0F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 w:rsidRPr="007D5CDE">
        <w:rPr>
          <w:rFonts w:ascii="Arial" w:hAnsi="Arial" w:cs="Arial"/>
          <w:i/>
          <w:sz w:val="16"/>
          <w:szCs w:val="16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по организациям, не относящимся к субъектам малого предпринимательства,включая</w:t>
      </w:r>
      <w:r w:rsidRPr="007D5CDE">
        <w:rPr>
          <w:rFonts w:ascii="Arial" w:hAnsi="Arial" w:cs="Arial"/>
          <w:i/>
          <w:sz w:val="16"/>
          <w:szCs w:val="16"/>
          <w:lang w:val="ru-RU"/>
        </w:rPr>
        <w:t xml:space="preserve"> организаци</w:t>
      </w:r>
      <w:r>
        <w:rPr>
          <w:rFonts w:ascii="Arial" w:hAnsi="Arial" w:cs="Arial"/>
          <w:i/>
          <w:sz w:val="16"/>
          <w:szCs w:val="16"/>
          <w:lang w:val="ru-RU"/>
        </w:rPr>
        <w:t>и</w:t>
      </w:r>
      <w:r w:rsidRPr="007D5CDE">
        <w:rPr>
          <w:rFonts w:ascii="Arial" w:hAnsi="Arial" w:cs="Arial"/>
          <w:i/>
          <w:sz w:val="16"/>
          <w:szCs w:val="16"/>
          <w:lang w:val="ru-RU"/>
        </w:rPr>
        <w:t xml:space="preserve"> с численностью рабо</w:t>
      </w:r>
      <w:r>
        <w:rPr>
          <w:rFonts w:ascii="Arial" w:hAnsi="Arial" w:cs="Arial"/>
          <w:i/>
          <w:sz w:val="16"/>
          <w:szCs w:val="16"/>
          <w:lang w:val="ru-RU"/>
        </w:rPr>
        <w:t>тников до 15 человек</w:t>
      </w:r>
    </w:p>
  </w:footnote>
  <w:footnote w:id="2">
    <w:p w:rsidR="00023F0F" w:rsidRPr="00302BB6" w:rsidRDefault="00023F0F" w:rsidP="00023F0F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2</w:t>
      </w:r>
      <w:r w:rsidRPr="00302BB6">
        <w:rPr>
          <w:rFonts w:ascii="Arial" w:hAnsi="Arial" w:cs="Arial"/>
          <w:i/>
          <w:sz w:val="16"/>
          <w:szCs w:val="16"/>
        </w:rPr>
        <w:t xml:space="preserve"> </w:t>
      </w:r>
      <w:r w:rsidRPr="00E4033F">
        <w:rPr>
          <w:rFonts w:ascii="Arial" w:hAnsi="Arial" w:cs="Arial"/>
          <w:i/>
          <w:sz w:val="16"/>
          <w:szCs w:val="16"/>
          <w:lang w:val="ru-RU"/>
        </w:rPr>
        <w:t xml:space="preserve">по некоммерческим и коммерческим организациям, не относящимся к субъектам малого </w:t>
      </w:r>
      <w:r>
        <w:rPr>
          <w:rFonts w:ascii="Arial" w:hAnsi="Arial" w:cs="Arial"/>
          <w:i/>
          <w:sz w:val="16"/>
          <w:szCs w:val="16"/>
          <w:lang w:val="ru-RU"/>
        </w:rPr>
        <w:br/>
      </w:r>
      <w:r w:rsidRPr="00E4033F">
        <w:rPr>
          <w:rFonts w:ascii="Arial" w:hAnsi="Arial" w:cs="Arial"/>
          <w:i/>
          <w:sz w:val="16"/>
          <w:szCs w:val="16"/>
          <w:lang w:val="ru-RU"/>
        </w:rPr>
        <w:t>предприним</w:t>
      </w:r>
      <w:r w:rsidRPr="00E4033F">
        <w:rPr>
          <w:rFonts w:ascii="Arial" w:hAnsi="Arial" w:cs="Arial"/>
          <w:i/>
          <w:sz w:val="16"/>
          <w:szCs w:val="16"/>
          <w:lang w:val="ru-RU"/>
        </w:rPr>
        <w:t>а</w:t>
      </w:r>
      <w:r w:rsidRPr="00E4033F">
        <w:rPr>
          <w:rFonts w:ascii="Arial" w:hAnsi="Arial" w:cs="Arial"/>
          <w:i/>
          <w:sz w:val="16"/>
          <w:szCs w:val="16"/>
          <w:lang w:val="ru-RU"/>
        </w:rPr>
        <w:t>тельства</w:t>
      </w:r>
    </w:p>
    <w:p w:rsidR="00023F0F" w:rsidRPr="004F0819" w:rsidRDefault="00023F0F" w:rsidP="00023F0F">
      <w:pPr>
        <w:pStyle w:val="a8"/>
        <w:jc w:val="both"/>
        <w:rPr>
          <w:rFonts w:ascii="Times New Roman" w:hAnsi="Times New Roman"/>
          <w:lang w:val="ru-RU"/>
        </w:rPr>
      </w:pPr>
    </w:p>
  </w:footnote>
  <w:footnote w:id="3">
    <w:p w:rsidR="00023F0F" w:rsidRDefault="00023F0F" w:rsidP="00023F0F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 w:rsidRPr="004F1FDE">
        <w:rPr>
          <w:i/>
          <w:sz w:val="16"/>
          <w:szCs w:val="16"/>
        </w:rPr>
        <w:t xml:space="preserve"> </w:t>
      </w:r>
      <w:r w:rsidRPr="00D81211">
        <w:rPr>
          <w:rFonts w:ascii="Arial" w:hAnsi="Arial" w:cs="Arial"/>
          <w:i/>
          <w:sz w:val="16"/>
          <w:szCs w:val="16"/>
        </w:rPr>
        <w:t>без субъектов малого предпринимательства</w:t>
      </w:r>
    </w:p>
    <w:p w:rsidR="00023F0F" w:rsidRPr="00B14E26" w:rsidRDefault="00023F0F" w:rsidP="00023F0F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</w:p>
  </w:footnote>
  <w:footnote w:id="4">
    <w:p w:rsidR="00023F0F" w:rsidRPr="00B323D3" w:rsidRDefault="00023F0F" w:rsidP="00023F0F">
      <w:pPr>
        <w:pStyle w:val="a8"/>
        <w:rPr>
          <w:rFonts w:ascii="Arial" w:hAnsi="Arial" w:cs="Arial"/>
          <w:i/>
          <w:lang w:val="ru-RU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 w:rsidRPr="007B67D9">
        <w:rPr>
          <w:rFonts w:ascii="Arial" w:hAnsi="Arial" w:cs="Arial"/>
          <w:i/>
          <w:sz w:val="18"/>
          <w:szCs w:val="18"/>
        </w:rPr>
        <w:t xml:space="preserve"> </w:t>
      </w:r>
      <w:r w:rsidRPr="00B323D3">
        <w:rPr>
          <w:rFonts w:ascii="Arial" w:hAnsi="Arial" w:cs="Arial"/>
          <w:i/>
          <w:sz w:val="16"/>
          <w:lang w:val="ru-RU"/>
        </w:rPr>
        <w:t>Без жилых помещений в нежилых зданиях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81E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BCC3FF5"/>
    <w:multiLevelType w:val="singleLevel"/>
    <w:tmpl w:val="9B7C7C8E"/>
    <w:lvl w:ilvl="0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">
    <w:nsid w:val="107B6088"/>
    <w:multiLevelType w:val="multilevel"/>
    <w:tmpl w:val="7D2ED3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3A61C9"/>
    <w:multiLevelType w:val="hybridMultilevel"/>
    <w:tmpl w:val="5F5E2B18"/>
    <w:lvl w:ilvl="0" w:tplc="424CAA9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C384D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5610A9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3F55F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6AD2C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8274B4D"/>
    <w:multiLevelType w:val="singleLevel"/>
    <w:tmpl w:val="F8FEC6BC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9">
    <w:nsid w:val="48DA0C35"/>
    <w:multiLevelType w:val="singleLevel"/>
    <w:tmpl w:val="21620BE0"/>
    <w:lvl w:ilvl="0">
      <w:start w:val="9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547B4D07"/>
    <w:multiLevelType w:val="singleLevel"/>
    <w:tmpl w:val="84DEDB28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1">
    <w:nsid w:val="59CB0DBC"/>
    <w:multiLevelType w:val="singleLevel"/>
    <w:tmpl w:val="51DE242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2">
    <w:nsid w:val="5DC21F24"/>
    <w:multiLevelType w:val="singleLevel"/>
    <w:tmpl w:val="A46E8A0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>
    <w:nsid w:val="66837CCE"/>
    <w:multiLevelType w:val="hybridMultilevel"/>
    <w:tmpl w:val="8EF00AAA"/>
    <w:lvl w:ilvl="0" w:tplc="9B7C7C8E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AF4C9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0F"/>
    <w:rsid w:val="00023F0F"/>
    <w:rsid w:val="00281FC2"/>
    <w:rsid w:val="008F7616"/>
    <w:rsid w:val="00D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F0F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023F0F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023F0F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23F0F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023F0F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23F0F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023F0F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023F0F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023F0F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F0F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023F0F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23F0F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023F0F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023F0F"/>
  </w:style>
  <w:style w:type="paragraph" w:styleId="a3">
    <w:name w:val="footer"/>
    <w:basedOn w:val="a"/>
    <w:link w:val="a4"/>
    <w:rsid w:val="00023F0F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023F0F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023F0F"/>
  </w:style>
  <w:style w:type="paragraph" w:styleId="a6">
    <w:name w:val="header"/>
    <w:aliases w:val="ВерхКолонтитул"/>
    <w:basedOn w:val="a"/>
    <w:link w:val="a7"/>
    <w:rsid w:val="00023F0F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023F0F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023F0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023F0F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023F0F"/>
    <w:rPr>
      <w:vertAlign w:val="superscript"/>
    </w:rPr>
  </w:style>
  <w:style w:type="paragraph" w:styleId="ab">
    <w:name w:val="Body Text"/>
    <w:basedOn w:val="a"/>
    <w:link w:val="ac"/>
    <w:rsid w:val="00023F0F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023F0F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023F0F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023F0F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023F0F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023F0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023F0F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023F0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023F0F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023F0F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023F0F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023F0F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023F0F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023F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3F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023F0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023F0F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023F0F"/>
    <w:rPr>
      <w:vertAlign w:val="superscript"/>
    </w:rPr>
  </w:style>
  <w:style w:type="paragraph" w:styleId="af7">
    <w:name w:val="Document Map"/>
    <w:basedOn w:val="a"/>
    <w:link w:val="af8"/>
    <w:semiHidden/>
    <w:rsid w:val="00023F0F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023F0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023F0F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02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02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023F0F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023F0F"/>
    <w:rPr>
      <w:i/>
      <w:iCs/>
    </w:rPr>
  </w:style>
  <w:style w:type="paragraph" w:styleId="afc">
    <w:name w:val="Plain Text"/>
    <w:basedOn w:val="a"/>
    <w:link w:val="afd"/>
    <w:rsid w:val="00023F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023F0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023F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023F0F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02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023F0F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023F0F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023F0F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023F0F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023F0F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023F0F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023F0F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023F0F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F0F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023F0F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023F0F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23F0F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023F0F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23F0F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023F0F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023F0F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023F0F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3F0F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023F0F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23F0F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023F0F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023F0F"/>
  </w:style>
  <w:style w:type="paragraph" w:styleId="a3">
    <w:name w:val="footer"/>
    <w:basedOn w:val="a"/>
    <w:link w:val="a4"/>
    <w:rsid w:val="00023F0F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023F0F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023F0F"/>
  </w:style>
  <w:style w:type="paragraph" w:styleId="a6">
    <w:name w:val="header"/>
    <w:aliases w:val="ВерхКолонтитул"/>
    <w:basedOn w:val="a"/>
    <w:link w:val="a7"/>
    <w:rsid w:val="00023F0F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023F0F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023F0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023F0F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023F0F"/>
    <w:rPr>
      <w:vertAlign w:val="superscript"/>
    </w:rPr>
  </w:style>
  <w:style w:type="paragraph" w:styleId="ab">
    <w:name w:val="Body Text"/>
    <w:basedOn w:val="a"/>
    <w:link w:val="ac"/>
    <w:rsid w:val="00023F0F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023F0F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023F0F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023F0F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023F0F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023F0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023F0F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023F0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023F0F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023F0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023F0F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023F0F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023F0F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023F0F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023F0F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023F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3F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023F0F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023F0F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023F0F"/>
    <w:rPr>
      <w:vertAlign w:val="superscript"/>
    </w:rPr>
  </w:style>
  <w:style w:type="paragraph" w:styleId="af7">
    <w:name w:val="Document Map"/>
    <w:basedOn w:val="a"/>
    <w:link w:val="af8"/>
    <w:semiHidden/>
    <w:rsid w:val="00023F0F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023F0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023F0F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02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02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023F0F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023F0F"/>
    <w:rPr>
      <w:i/>
      <w:iCs/>
    </w:rPr>
  </w:style>
  <w:style w:type="paragraph" w:styleId="afc">
    <w:name w:val="Plain Text"/>
    <w:basedOn w:val="a"/>
    <w:link w:val="afd"/>
    <w:rsid w:val="00023F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023F0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023F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023F0F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02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023F0F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023F0F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023F0F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023F0F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023F0F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023F0F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023F0F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023F0F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096525096525095E-2"/>
          <c:y val="0.13082437275985664"/>
          <c:w val="0.94401544401544402"/>
          <c:h val="0.34946236559139787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explosion val="9"/>
            <c:spPr>
              <a:solidFill>
                <a:srgbClr val="9999FF"/>
              </a:solidFill>
              <a:ln w="25433">
                <a:noFill/>
              </a:ln>
            </c:spPr>
          </c:dPt>
          <c:dPt>
            <c:idx val="1"/>
            <c:bubble3D val="0"/>
            <c:explosion val="9"/>
            <c:spPr>
              <a:solidFill>
                <a:srgbClr val="993366"/>
              </a:solidFill>
              <a:ln w="25433">
                <a:noFill/>
              </a:ln>
            </c:spPr>
          </c:dPt>
          <c:dPt>
            <c:idx val="2"/>
            <c:bubble3D val="0"/>
            <c:spPr>
              <a:solidFill>
                <a:srgbClr val="FFFF00"/>
              </a:solidFill>
              <a:ln w="25433">
                <a:noFill/>
              </a:ln>
            </c:spPr>
          </c:dPt>
          <c:dPt>
            <c:idx val="3"/>
            <c:bubble3D val="0"/>
            <c:explosion val="23"/>
            <c:spPr>
              <a:solidFill>
                <a:srgbClr val="0000FF"/>
              </a:solidFill>
              <a:ln w="25433">
                <a:noFill/>
              </a:ln>
            </c:spPr>
          </c:dPt>
          <c:dPt>
            <c:idx val="4"/>
            <c:bubble3D val="0"/>
            <c:spPr>
              <a:solidFill>
                <a:srgbClr val="FF6600"/>
              </a:solidFill>
              <a:ln w="25433">
                <a:noFill/>
              </a:ln>
            </c:spPr>
          </c:dPt>
          <c:dPt>
            <c:idx val="5"/>
            <c:bubble3D val="0"/>
            <c:spPr>
              <a:solidFill>
                <a:srgbClr val="008000"/>
              </a:solidFill>
              <a:ln w="25433">
                <a:noFill/>
              </a:ln>
            </c:spPr>
          </c:dPt>
          <c:dPt>
            <c:idx val="6"/>
            <c:bubble3D val="0"/>
            <c:spPr>
              <a:solidFill>
                <a:srgbClr val="00FFFF"/>
              </a:solidFill>
              <a:ln w="25433">
                <a:noFill/>
              </a:ln>
            </c:spPr>
          </c:dPt>
          <c:dPt>
            <c:idx val="7"/>
            <c:bubble3D val="0"/>
            <c:spPr>
              <a:solidFill>
                <a:srgbClr val="FF99CC"/>
              </a:solidFill>
              <a:ln w="25433">
                <a:noFill/>
              </a:ln>
            </c:spPr>
          </c:dPt>
          <c:dLbls>
            <c:dLbl>
              <c:idx val="0"/>
              <c:layout>
                <c:manualLayout>
                  <c:xMode val="edge"/>
                  <c:yMode val="edge"/>
                  <c:x val="0.46332046332046334"/>
                  <c:y val="0.1021505376344086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51544401544401541"/>
                  <c:y val="9.856630824372759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82046332046332049"/>
                  <c:y val="0.1344086021505376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41698841698841699"/>
                  <c:y val="0.489247311827957"/>
                </c:manualLayout>
              </c:layout>
              <c:tx>
                <c:rich>
                  <a:bodyPr/>
                  <a:lstStyle/>
                  <a:p>
                    <a:r>
                      <a:t>0,2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801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0.3</c:v>
                </c:pt>
                <c:pt idx="1">
                  <c:v>0.4</c:v>
                </c:pt>
                <c:pt idx="2">
                  <c:v>50.9</c:v>
                </c:pt>
                <c:pt idx="3">
                  <c:v>0.2</c:v>
                </c:pt>
                <c:pt idx="4">
                  <c:v>2.9</c:v>
                </c:pt>
                <c:pt idx="5">
                  <c:v>3.4</c:v>
                </c:pt>
                <c:pt idx="6" formatCode="General">
                  <c:v>41.9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Sheet1!$B$6:$H$6</c:f>
              <c:numCache>
                <c:formatCode>General</c:formatCode>
                <c:ptCount val="7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Sheet1!$B$7:$H$7</c:f>
              <c:numCache>
                <c:formatCode>General</c:formatCode>
                <c:ptCount val="7"/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</c:strCache>
            </c:strRef>
          </c:tx>
          <c:spPr>
            <a:solidFill>
              <a:srgbClr val="0066CC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Sheet1!$B$8:$H$8</c:f>
              <c:numCache>
                <c:formatCode>General</c:formatCode>
                <c:ptCount val="7"/>
              </c:numCache>
            </c:numRef>
          </c:val>
        </c:ser>
        <c:ser>
          <c:idx val="7"/>
          <c:order val="7"/>
          <c:tx>
            <c:strRef>
              <c:f>Sheet1!$A$9</c:f>
              <c:strCache>
                <c:ptCount val="1"/>
              </c:strCache>
            </c:strRef>
          </c:tx>
          <c:spPr>
            <a:solidFill>
              <a:srgbClr val="CCCCFF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Sheet1!$B$9:$H$9</c:f>
              <c:numCache>
                <c:formatCode>General</c:formatCode>
                <c:ptCount val="7"/>
              </c:numCache>
            </c:numRef>
          </c:val>
        </c:ser>
        <c:ser>
          <c:idx val="8"/>
          <c:order val="8"/>
          <c:tx>
            <c:strRef>
              <c:f>Sheet1!$A$10</c:f>
              <c:strCache>
                <c:ptCount val="1"/>
              </c:strCache>
            </c:strRef>
          </c:tx>
          <c:spPr>
            <a:solidFill>
              <a:srgbClr val="000080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Sheet1!$B$10:$H$10</c:f>
              <c:numCache>
                <c:formatCode>General</c:formatCode>
                <c:ptCount val="7"/>
              </c:numCache>
            </c:numRef>
          </c:val>
        </c:ser>
        <c:ser>
          <c:idx val="9"/>
          <c:order val="9"/>
          <c:tx>
            <c:strRef>
              <c:f>Sheet1!$A$11</c:f>
              <c:strCache>
                <c:ptCount val="1"/>
              </c:strCache>
            </c:strRef>
          </c:tx>
          <c:spPr>
            <a:solidFill>
              <a:srgbClr val="FF00FF"/>
            </a:solidFill>
            <a:ln w="12716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spPr>
              <a:solidFill>
                <a:srgbClr val="9999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16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33">
                <a:noFill/>
              </a:ln>
            </c:spPr>
            <c:txPr>
              <a:bodyPr/>
              <a:lstStyle/>
              <a:p>
                <a:pPr>
                  <a:defRPr sz="15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Государственная</c:v>
                </c:pt>
                <c:pt idx="1">
                  <c:v>Муниципальная</c:v>
                </c:pt>
                <c:pt idx="2">
                  <c:v>Частная</c:v>
                </c:pt>
                <c:pt idx="3">
                  <c:v>Смешанная российская</c:v>
                </c:pt>
                <c:pt idx="4">
                  <c:v>Иностранная</c:v>
                </c:pt>
                <c:pt idx="5">
                  <c:v>Совместная российская и иностранная</c:v>
                </c:pt>
                <c:pt idx="6">
                  <c:v>Индивидуальное жилищное строительство</c:v>
                </c:pt>
              </c:strCache>
            </c:strRef>
          </c:cat>
          <c:val>
            <c:numRef>
              <c:f>Sheet1!$B$11:$H$11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33">
          <a:noFill/>
        </a:ln>
      </c:spPr>
    </c:plotArea>
    <c:legend>
      <c:legendPos val="b"/>
      <c:layout>
        <c:manualLayout>
          <c:xMode val="edge"/>
          <c:yMode val="edge"/>
          <c:x val="0.1891891891891892"/>
          <c:y val="0.56272401433691754"/>
          <c:w val="0.693050193050193"/>
          <c:h val="0.43906810035842292"/>
        </c:manualLayout>
      </c:layout>
      <c:overlay val="0"/>
      <c:spPr>
        <a:noFill/>
        <a:ln w="25433">
          <a:noFill/>
        </a:ln>
      </c:spPr>
      <c:txPr>
        <a:bodyPr/>
        <a:lstStyle/>
        <a:p>
          <a:pPr>
            <a:defRPr sz="736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50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-5"/>
      <c:hPercent val="100"/>
      <c:rotY val="0"/>
      <c:depthPercent val="100"/>
      <c:rAngAx val="0"/>
      <c:perspective val="0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3.8669426860772828E-2"/>
          <c:y val="0"/>
          <c:w val="0.90156853738005271"/>
          <c:h val="0.7161134646495317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Лист1!$B$7</c:f>
              <c:strCache>
                <c:ptCount val="1"/>
                <c:pt idx="0">
                  <c:v>доля жилых домов, построенных населением за счет собственных и заемных средств, в общем объеме жилищного строительства</c:v>
                </c:pt>
              </c:strCache>
            </c:strRef>
          </c:tx>
          <c:spPr>
            <a:solidFill>
              <a:srgbClr val="CC99FF"/>
            </a:solidFill>
            <a:ln w="25086">
              <a:noFill/>
            </a:ln>
          </c:spPr>
          <c:invertIfNegative val="0"/>
          <c:dLbls>
            <c:dLbl>
              <c:idx val="0"/>
              <c:layout>
                <c:manualLayout>
                  <c:x val="0.36330288273401279"/>
                  <c:y val="3.34451476784568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38,9%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35817361551602783"/>
                  <c:y val="7.939504228935653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23909142090716168"/>
                  <c:y val="0.16293282458012021"/>
                </c:manualLayout>
              </c:layout>
              <c:tx>
                <c:rich>
                  <a:bodyPr/>
                  <a:lstStyle/>
                  <a:p>
                    <a:pPr>
                      <a:defRPr sz="840" b="0" i="1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16,9%</a:t>
                    </a:r>
                  </a:p>
                </c:rich>
              </c:tx>
              <c:numFmt formatCode="0.00%" sourceLinked="0"/>
              <c:spPr>
                <a:noFill/>
                <a:ln w="25086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23245979891423724"/>
                  <c:y val="0.1638671936875981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23281568928503671"/>
                  <c:y val="0.1742263065841547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31,5%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086">
                <a:noFill/>
              </a:ln>
            </c:spPr>
            <c:txPr>
              <a:bodyPr/>
              <a:lstStyle/>
              <a:p>
                <a:pPr>
                  <a:defRPr sz="840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Лист1!$A$8:$A$12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Лист1!$B$8:$B$12</c:f>
              <c:numCache>
                <c:formatCode>General</c:formatCode>
                <c:ptCount val="5"/>
                <c:pt idx="0">
                  <c:v>1677</c:v>
                </c:pt>
                <c:pt idx="1">
                  <c:v>3219</c:v>
                </c:pt>
                <c:pt idx="2">
                  <c:v>2808</c:v>
                </c:pt>
                <c:pt idx="3">
                  <c:v>3529</c:v>
                </c:pt>
                <c:pt idx="4">
                  <c:v>3715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Лист1!$C$7</c:f>
              <c:strCache>
                <c:ptCount val="1"/>
                <c:pt idx="0">
                  <c:v>общий объем жилищного строительства</c:v>
                </c:pt>
              </c:strCache>
            </c:strRef>
          </c:tx>
          <c:spPr>
            <a:solidFill>
              <a:srgbClr val="FF99CC"/>
            </a:solidFill>
            <a:ln w="25086">
              <a:noFill/>
            </a:ln>
          </c:spPr>
          <c:invertIfNegative val="0"/>
          <c:dLbls>
            <c:dLbl>
              <c:idx val="0"/>
              <c:layout>
                <c:manualLayout>
                  <c:x val="2.6477012954025905E-4"/>
                  <c:y val="1.14743838838326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9945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963674778845366E-4"/>
                  <c:y val="-5.625616797900262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9623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310388620777242E-3"/>
                  <c:y val="9.23407301360057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8996697993395989E-4"/>
                  <c:y val="1.2669598118417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97739395478791E-3"/>
                  <c:y val="6.44278556089580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086">
                <a:noFill/>
              </a:ln>
            </c:spPr>
            <c:txPr>
              <a:bodyPr/>
              <a:lstStyle/>
              <a:p>
                <a:pPr>
                  <a:defRPr sz="840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Лист1!$A$8:$A$12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Лист1!$C$8:$C$12</c:f>
              <c:numCache>
                <c:formatCode>General</c:formatCode>
                <c:ptCount val="5"/>
                <c:pt idx="0">
                  <c:v>9945</c:v>
                </c:pt>
                <c:pt idx="1">
                  <c:v>9623</c:v>
                </c:pt>
                <c:pt idx="2">
                  <c:v>8914</c:v>
                </c:pt>
                <c:pt idx="3">
                  <c:v>9078</c:v>
                </c:pt>
                <c:pt idx="4">
                  <c:v>8867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shape val="box"/>
        <c:axId val="78160256"/>
        <c:axId val="78161792"/>
        <c:axId val="146769216"/>
      </c:bar3DChart>
      <c:catAx>
        <c:axId val="78160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07">
            <a:noFill/>
          </a:ln>
        </c:spPr>
        <c:txPr>
          <a:bodyPr rot="0" vert="horz"/>
          <a:lstStyle/>
          <a:p>
            <a:pPr>
              <a:defRPr sz="2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8161792"/>
        <c:crosses val="autoZero"/>
        <c:auto val="1"/>
        <c:lblAlgn val="ctr"/>
        <c:lblOffset val="100"/>
        <c:tickMarkSkip val="1"/>
        <c:noMultiLvlLbl val="1"/>
      </c:catAx>
      <c:valAx>
        <c:axId val="78161792"/>
        <c:scaling>
          <c:orientation val="minMax"/>
          <c:max val="12000"/>
        </c:scaling>
        <c:delete val="1"/>
        <c:axPos val="l"/>
        <c:numFmt formatCode="General" sourceLinked="1"/>
        <c:majorTickMark val="out"/>
        <c:minorTickMark val="none"/>
        <c:tickLblPos val="nextTo"/>
        <c:crossAx val="78160256"/>
        <c:crosses val="autoZero"/>
        <c:crossBetween val="between"/>
        <c:minorUnit val="30"/>
      </c:valAx>
      <c:serAx>
        <c:axId val="146769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3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2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8161792"/>
        <c:crosses val="autoZero"/>
        <c:tickMarkSkip val="1"/>
      </c:serAx>
      <c:spPr>
        <a:noFill/>
        <a:ln w="25086">
          <a:noFill/>
        </a:ln>
      </c:spPr>
    </c:plotArea>
    <c:legend>
      <c:legendPos val="b"/>
      <c:layout>
        <c:manualLayout>
          <c:xMode val="edge"/>
          <c:yMode val="edge"/>
          <c:x val="1.3479815491641529E-2"/>
          <c:y val="0.79214010846252059"/>
          <c:w val="0.94505818598474234"/>
          <c:h val="0.20785001709512829"/>
        </c:manualLayout>
      </c:layout>
      <c:overlay val="0"/>
      <c:spPr>
        <a:noFill/>
        <a:ln w="25086">
          <a:noFill/>
        </a:ln>
      </c:spPr>
      <c:txPr>
        <a:bodyPr/>
        <a:lstStyle/>
        <a:p>
          <a:pPr>
            <a:defRPr sz="726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296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0.21499</cdr:x>
      <cdr:y>0.71476</cdr:y>
    </cdr:from>
    <cdr:to>
      <cdr:x>0.27284</cdr:x>
      <cdr:y>0.78233</cdr:y>
    </cdr:to>
    <cdr:sp macro="" textlink="">
      <cdr:nvSpPr>
        <cdr:cNvPr id="508933" name="Text Box 102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58500" y="1770845"/>
          <a:ext cx="282386" cy="16830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none" lIns="18288" tIns="22860" rIns="0" bIns="0" anchor="t" upright="1">
          <a:noAutofit/>
        </a:bodyPr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900" b="1" i="1" strike="noStrike">
              <a:solidFill>
                <a:srgbClr val="000000"/>
              </a:solidFill>
              <a:latin typeface="Arial Cyr"/>
            </a:rPr>
            <a:t>2014</a:t>
          </a:r>
        </a:p>
      </cdr:txBody>
    </cdr:sp>
  </cdr:relSizeAnchor>
  <cdr:relSizeAnchor xmlns:cdr="http://schemas.openxmlformats.org/drawingml/2006/chartDrawing">
    <cdr:from>
      <cdr:x>0.3278</cdr:x>
      <cdr:y>0.72046</cdr:y>
    </cdr:from>
    <cdr:to>
      <cdr:x>0.3885</cdr:x>
      <cdr:y>0.78484</cdr:y>
    </cdr:to>
    <cdr:sp macro="" textlink="">
      <cdr:nvSpPr>
        <cdr:cNvPr id="508934" name="Text Box 103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86212" y="1743045"/>
          <a:ext cx="275204" cy="1557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none" lIns="18288" tIns="22860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900" b="1" i="1" strike="noStrike">
              <a:solidFill>
                <a:srgbClr val="000000"/>
              </a:solidFill>
              <a:latin typeface="Arial Cyr"/>
            </a:rPr>
            <a:t>2015</a:t>
          </a:r>
        </a:p>
      </cdr:txBody>
    </cdr:sp>
  </cdr:relSizeAnchor>
  <cdr:relSizeAnchor xmlns:cdr="http://schemas.openxmlformats.org/drawingml/2006/chartDrawing">
    <cdr:from>
      <cdr:x>0.42356</cdr:x>
      <cdr:y>0.71502</cdr:y>
    </cdr:from>
    <cdr:to>
      <cdr:x>0.51653</cdr:x>
      <cdr:y>0.77384</cdr:y>
    </cdr:to>
    <cdr:sp macro="" textlink="">
      <cdr:nvSpPr>
        <cdr:cNvPr id="508935" name="Text Box 103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83527" y="1778629"/>
          <a:ext cx="456907" cy="14631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00" b="1" i="1" strike="noStrike">
              <a:solidFill>
                <a:srgbClr val="000000"/>
              </a:solidFill>
              <a:latin typeface="Arial Cyr"/>
            </a:rPr>
            <a:t>2016</a:t>
          </a:r>
        </a:p>
      </cdr:txBody>
    </cdr:sp>
  </cdr:relSizeAnchor>
  <cdr:relSizeAnchor xmlns:cdr="http://schemas.openxmlformats.org/drawingml/2006/chartDrawing">
    <cdr:from>
      <cdr:x>0.5497</cdr:x>
      <cdr:y>0.71308</cdr:y>
    </cdr:from>
    <cdr:to>
      <cdr:x>0.6199</cdr:x>
      <cdr:y>0.78194</cdr:y>
    </cdr:to>
    <cdr:sp macro="" textlink="">
      <cdr:nvSpPr>
        <cdr:cNvPr id="508936" name="Text Box 10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01425" y="1773183"/>
          <a:ext cx="349629" cy="1712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0" bIns="0" anchor="t" upright="1">
          <a:noAutofit/>
        </a:bodyPr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900" b="1" i="1" strike="noStrike">
              <a:solidFill>
                <a:srgbClr val="000000"/>
              </a:solidFill>
              <a:latin typeface="Arial Cyr"/>
            </a:rPr>
            <a:t>2017</a:t>
          </a:r>
        </a:p>
      </cdr:txBody>
    </cdr:sp>
  </cdr:relSizeAnchor>
  <cdr:relSizeAnchor xmlns:cdr="http://schemas.openxmlformats.org/drawingml/2006/chartDrawing">
    <cdr:from>
      <cdr:x>0.66522</cdr:x>
      <cdr:y>0.70942</cdr:y>
    </cdr:from>
    <cdr:to>
      <cdr:x>0.7307</cdr:x>
      <cdr:y>0.77112</cdr:y>
    </cdr:to>
    <cdr:sp macro="" textlink="">
      <cdr:nvSpPr>
        <cdr:cNvPr id="508937" name="Text Box 10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71918" y="1761578"/>
          <a:ext cx="317745" cy="1541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0" bIns="0" anchor="t" upright="1">
          <a:noAutofit/>
        </a:bodyPr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900" b="1" i="1" strike="noStrike">
              <a:solidFill>
                <a:srgbClr val="000000"/>
              </a:solidFill>
              <a:latin typeface="Arial Cyr"/>
            </a:rPr>
            <a:t>2018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2020-03-06T06:30:00Z</dcterms:created>
  <dcterms:modified xsi:type="dcterms:W3CDTF">2020-03-06T06:31:00Z</dcterms:modified>
</cp:coreProperties>
</file>